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BBB05B" w14:textId="65D33C6F" w:rsidR="000B486D" w:rsidRPr="001F653D" w:rsidRDefault="000B486D" w:rsidP="000B486D">
      <w:pPr>
        <w:spacing w:line="360" w:lineRule="auto"/>
        <w:rPr>
          <w:rFonts w:ascii="Palatino Linotype" w:hAnsi="Palatino Linotype"/>
          <w:b/>
          <w:bCs/>
          <w:sz w:val="24"/>
          <w:szCs w:val="24"/>
        </w:rPr>
      </w:pPr>
      <w:r w:rsidRPr="001F653D">
        <w:rPr>
          <w:rFonts w:ascii="Palatino Linotype" w:hAnsi="Palatino Linotype"/>
          <w:b/>
          <w:bCs/>
          <w:sz w:val="24"/>
          <w:szCs w:val="24"/>
        </w:rPr>
        <w:t>Supplementary Methods</w:t>
      </w:r>
    </w:p>
    <w:p w14:paraId="007997DF" w14:textId="3F2A2A1F" w:rsidR="000B486D" w:rsidRPr="001F653D" w:rsidRDefault="000B486D" w:rsidP="000B486D">
      <w:pPr>
        <w:spacing w:line="360" w:lineRule="auto"/>
        <w:rPr>
          <w:rFonts w:ascii="Palatino Linotype" w:hAnsi="Palatino Linotype"/>
          <w:b/>
          <w:bCs/>
          <w:szCs w:val="20"/>
        </w:rPr>
      </w:pPr>
      <w:r w:rsidRPr="001F653D">
        <w:rPr>
          <w:rFonts w:ascii="Palatino Linotype" w:hAnsi="Palatino Linotype"/>
          <w:b/>
          <w:bCs/>
          <w:szCs w:val="20"/>
        </w:rPr>
        <w:t>Over-representation analysis with functional gene sets</w:t>
      </w:r>
    </w:p>
    <w:p w14:paraId="29A1AA63" w14:textId="4351FF7C" w:rsidR="001F653D" w:rsidRPr="001F653D" w:rsidRDefault="000E3353" w:rsidP="001F653D">
      <w:pPr>
        <w:wordWrap/>
        <w:spacing w:line="480" w:lineRule="auto"/>
        <w:rPr>
          <w:rFonts w:ascii="Palatino Linotype" w:hAnsi="Palatino Linotype" w:cs="Helvetica"/>
          <w:szCs w:val="20"/>
        </w:rPr>
      </w:pPr>
      <w:r w:rsidRPr="000E3353">
        <w:rPr>
          <w:rFonts w:ascii="Palatino Linotype" w:hAnsi="Palatino Linotype" w:cs="Helvetica"/>
          <w:szCs w:val="20"/>
        </w:rPr>
        <w:t xml:space="preserve">Overrepresentation analysis (ORA) is a gene set analysis method that assesses whether specific genes within a gene set are enriched </w:t>
      </w:r>
      <w:proofErr w:type="gramStart"/>
      <w:r w:rsidRPr="000E3353">
        <w:rPr>
          <w:rFonts w:ascii="Palatino Linotype" w:hAnsi="Palatino Linotype" w:cs="Helvetica"/>
          <w:szCs w:val="20"/>
        </w:rPr>
        <w:t>in a given</w:t>
      </w:r>
      <w:proofErr w:type="gramEnd"/>
      <w:r w:rsidRPr="000E3353">
        <w:rPr>
          <w:rFonts w:ascii="Palatino Linotype" w:hAnsi="Palatino Linotype" w:cs="Helvetica"/>
          <w:szCs w:val="20"/>
        </w:rPr>
        <w:t xml:space="preserve"> list of genes. This method is primarily employed for the functional annotation of genes of interest. Fisher’s exact test can be applied for statistical testing. ORA determines whether the genes of interest include more genes from functional gene sets, such as gene ontology or pathways, than expected by random chance.</w:t>
      </w:r>
    </w:p>
    <w:tbl>
      <w:tblPr>
        <w:tblStyle w:val="a3"/>
        <w:tblW w:w="8760" w:type="dxa"/>
        <w:tblLook w:val="04A0" w:firstRow="1" w:lastRow="0" w:firstColumn="1" w:lastColumn="0" w:noHBand="0" w:noVBand="1"/>
      </w:tblPr>
      <w:tblGrid>
        <w:gridCol w:w="2190"/>
        <w:gridCol w:w="2190"/>
        <w:gridCol w:w="2190"/>
        <w:gridCol w:w="2190"/>
      </w:tblGrid>
      <w:tr w:rsidR="001F653D" w:rsidRPr="001F653D" w14:paraId="0B810CF5" w14:textId="77777777" w:rsidTr="00466A0A">
        <w:trPr>
          <w:trHeight w:val="443"/>
        </w:trPr>
        <w:tc>
          <w:tcPr>
            <w:tcW w:w="2190" w:type="dxa"/>
            <w:vAlign w:val="center"/>
          </w:tcPr>
          <w:p w14:paraId="3A125C86" w14:textId="77777777" w:rsidR="001F653D" w:rsidRPr="001F653D" w:rsidRDefault="001F653D" w:rsidP="00466A0A">
            <w:pPr>
              <w:wordWrap/>
              <w:jc w:val="center"/>
              <w:rPr>
                <w:rFonts w:ascii="Palatino Linotype" w:hAnsi="Palatino Linotype" w:cs="Helvetica"/>
                <w:szCs w:val="20"/>
              </w:rPr>
            </w:pPr>
          </w:p>
        </w:tc>
        <w:tc>
          <w:tcPr>
            <w:tcW w:w="2190" w:type="dxa"/>
            <w:vAlign w:val="center"/>
          </w:tcPr>
          <w:p w14:paraId="6D74623C" w14:textId="0954D51F" w:rsidR="001F653D" w:rsidRPr="001F653D" w:rsidRDefault="001F653D" w:rsidP="00466A0A">
            <w:pPr>
              <w:wordWrap/>
              <w:jc w:val="center"/>
              <w:rPr>
                <w:rFonts w:ascii="Palatino Linotype" w:hAnsi="Palatino Linotype" w:cs="Helvetica"/>
                <w:szCs w:val="20"/>
              </w:rPr>
            </w:pPr>
            <w:r>
              <w:rPr>
                <w:rFonts w:ascii="Palatino Linotype" w:hAnsi="Palatino Linotype" w:cs="Helvetica"/>
                <w:szCs w:val="20"/>
              </w:rPr>
              <w:t>Genes of interest</w:t>
            </w:r>
            <w:r w:rsidRPr="001F653D">
              <w:rPr>
                <w:rFonts w:ascii="Palatino Linotype" w:hAnsi="Palatino Linotype" w:cs="Helvetica"/>
                <w:szCs w:val="20"/>
              </w:rPr>
              <w:t xml:space="preserve"> (+)</w:t>
            </w:r>
          </w:p>
        </w:tc>
        <w:tc>
          <w:tcPr>
            <w:tcW w:w="2190" w:type="dxa"/>
            <w:vAlign w:val="center"/>
          </w:tcPr>
          <w:p w14:paraId="24E984AB" w14:textId="4B798C11" w:rsidR="001F653D" w:rsidRPr="001F653D" w:rsidRDefault="001F653D" w:rsidP="00466A0A">
            <w:pPr>
              <w:wordWrap/>
              <w:jc w:val="center"/>
              <w:rPr>
                <w:rFonts w:ascii="Palatino Linotype" w:hAnsi="Palatino Linotype" w:cs="Helvetica"/>
                <w:szCs w:val="20"/>
              </w:rPr>
            </w:pPr>
            <w:r>
              <w:rPr>
                <w:rFonts w:ascii="Palatino Linotype" w:hAnsi="Palatino Linotype" w:cs="Helvetica"/>
                <w:szCs w:val="20"/>
              </w:rPr>
              <w:t>Genes of interest</w:t>
            </w:r>
            <w:r w:rsidRPr="001F653D">
              <w:rPr>
                <w:rFonts w:ascii="Palatino Linotype" w:hAnsi="Palatino Linotype" w:cs="Helvetica"/>
                <w:szCs w:val="20"/>
              </w:rPr>
              <w:t xml:space="preserve"> (–)</w:t>
            </w:r>
          </w:p>
        </w:tc>
        <w:tc>
          <w:tcPr>
            <w:tcW w:w="2190" w:type="dxa"/>
            <w:vAlign w:val="center"/>
          </w:tcPr>
          <w:p w14:paraId="2D936B1D" w14:textId="77777777" w:rsidR="001F653D" w:rsidRPr="001F653D" w:rsidRDefault="001F653D" w:rsidP="00466A0A">
            <w:pPr>
              <w:wordWrap/>
              <w:jc w:val="center"/>
              <w:rPr>
                <w:rFonts w:ascii="Palatino Linotype" w:hAnsi="Palatino Linotype" w:cs="Helvetica"/>
                <w:szCs w:val="20"/>
              </w:rPr>
            </w:pPr>
          </w:p>
        </w:tc>
      </w:tr>
      <w:tr w:rsidR="001F653D" w:rsidRPr="001F653D" w14:paraId="28D6F355" w14:textId="77777777" w:rsidTr="00466A0A">
        <w:trPr>
          <w:trHeight w:val="443"/>
        </w:trPr>
        <w:tc>
          <w:tcPr>
            <w:tcW w:w="2190" w:type="dxa"/>
            <w:vAlign w:val="center"/>
          </w:tcPr>
          <w:p w14:paraId="70DAC92D" w14:textId="6B085818" w:rsidR="001F653D" w:rsidRPr="001F653D" w:rsidRDefault="001F653D" w:rsidP="00466A0A">
            <w:pPr>
              <w:wordWrap/>
              <w:jc w:val="center"/>
              <w:rPr>
                <w:rFonts w:ascii="Palatino Linotype" w:hAnsi="Palatino Linotype" w:cs="Helvetica"/>
                <w:szCs w:val="20"/>
              </w:rPr>
            </w:pPr>
            <w:r>
              <w:rPr>
                <w:rFonts w:ascii="Palatino Linotype" w:hAnsi="Palatino Linotype" w:cs="Helvetica"/>
                <w:szCs w:val="20"/>
              </w:rPr>
              <w:t>Gene set</w:t>
            </w:r>
            <w:r w:rsidRPr="001F653D">
              <w:rPr>
                <w:rFonts w:ascii="Palatino Linotype" w:hAnsi="Palatino Linotype" w:cs="Helvetica"/>
                <w:szCs w:val="20"/>
              </w:rPr>
              <w:t xml:space="preserve"> (+)</w:t>
            </w:r>
          </w:p>
        </w:tc>
        <w:tc>
          <w:tcPr>
            <w:tcW w:w="2190" w:type="dxa"/>
            <w:vAlign w:val="center"/>
          </w:tcPr>
          <w:p w14:paraId="1464A9B4" w14:textId="77777777" w:rsidR="001F653D" w:rsidRPr="001F653D" w:rsidRDefault="001F653D" w:rsidP="00466A0A">
            <w:pPr>
              <w:wordWrap/>
              <w:jc w:val="center"/>
              <w:rPr>
                <w:rFonts w:ascii="Palatino Linotype" w:hAnsi="Palatino Linotype" w:cs="Helvetica"/>
                <w:i/>
                <w:iCs/>
                <w:szCs w:val="20"/>
              </w:rPr>
            </w:pPr>
            <w:r w:rsidRPr="001F653D">
              <w:rPr>
                <w:rFonts w:ascii="Palatino Linotype" w:hAnsi="Palatino Linotype" w:cs="Helvetica"/>
                <w:i/>
                <w:iCs/>
                <w:szCs w:val="20"/>
              </w:rPr>
              <w:t>a</w:t>
            </w:r>
          </w:p>
        </w:tc>
        <w:tc>
          <w:tcPr>
            <w:tcW w:w="2190" w:type="dxa"/>
            <w:vAlign w:val="center"/>
          </w:tcPr>
          <w:p w14:paraId="74CF16A9" w14:textId="77777777" w:rsidR="001F653D" w:rsidRPr="001F653D" w:rsidRDefault="001F653D" w:rsidP="00466A0A">
            <w:pPr>
              <w:wordWrap/>
              <w:jc w:val="center"/>
              <w:rPr>
                <w:rFonts w:ascii="Palatino Linotype" w:hAnsi="Palatino Linotype" w:cs="Helvetica"/>
                <w:i/>
                <w:iCs/>
                <w:szCs w:val="20"/>
              </w:rPr>
            </w:pPr>
            <w:r w:rsidRPr="001F653D">
              <w:rPr>
                <w:rFonts w:ascii="Palatino Linotype" w:hAnsi="Palatino Linotype" w:cs="Helvetica"/>
                <w:i/>
                <w:iCs/>
                <w:szCs w:val="20"/>
              </w:rPr>
              <w:t>b</w:t>
            </w:r>
          </w:p>
        </w:tc>
        <w:tc>
          <w:tcPr>
            <w:tcW w:w="2190" w:type="dxa"/>
            <w:vAlign w:val="center"/>
          </w:tcPr>
          <w:p w14:paraId="47A53B0B" w14:textId="77777777" w:rsidR="001F653D" w:rsidRPr="001F653D" w:rsidRDefault="001F653D" w:rsidP="00466A0A">
            <w:pPr>
              <w:wordWrap/>
              <w:jc w:val="center"/>
              <w:rPr>
                <w:rFonts w:ascii="Palatino Linotype" w:hAnsi="Palatino Linotype" w:cs="Helvetica"/>
                <w:szCs w:val="20"/>
              </w:rPr>
            </w:pPr>
            <w:proofErr w:type="spellStart"/>
            <w:r w:rsidRPr="001F653D">
              <w:rPr>
                <w:rFonts w:ascii="Palatino Linotype" w:hAnsi="Palatino Linotype" w:cs="Helvetica"/>
                <w:i/>
                <w:iCs/>
                <w:szCs w:val="20"/>
              </w:rPr>
              <w:t>a</w:t>
            </w:r>
            <w:r w:rsidRPr="001F653D">
              <w:rPr>
                <w:rFonts w:ascii="Palatino Linotype" w:hAnsi="Palatino Linotype" w:cs="Helvetica"/>
                <w:szCs w:val="20"/>
              </w:rPr>
              <w:t>+</w:t>
            </w:r>
            <w:r w:rsidRPr="001F653D">
              <w:rPr>
                <w:rFonts w:ascii="Palatino Linotype" w:hAnsi="Palatino Linotype" w:cs="Helvetica"/>
                <w:i/>
                <w:iCs/>
                <w:szCs w:val="20"/>
              </w:rPr>
              <w:t>b</w:t>
            </w:r>
            <w:proofErr w:type="spellEnd"/>
          </w:p>
        </w:tc>
      </w:tr>
      <w:tr w:rsidR="001F653D" w:rsidRPr="001F653D" w14:paraId="2727E783" w14:textId="77777777" w:rsidTr="00466A0A">
        <w:trPr>
          <w:trHeight w:val="443"/>
        </w:trPr>
        <w:tc>
          <w:tcPr>
            <w:tcW w:w="2190" w:type="dxa"/>
            <w:tcBorders>
              <w:bottom w:val="single" w:sz="4" w:space="0" w:color="auto"/>
            </w:tcBorders>
            <w:vAlign w:val="center"/>
          </w:tcPr>
          <w:p w14:paraId="5941D1A7" w14:textId="6DF267AE" w:rsidR="001F653D" w:rsidRPr="001F653D" w:rsidRDefault="001F653D" w:rsidP="00466A0A">
            <w:pPr>
              <w:wordWrap/>
              <w:jc w:val="center"/>
              <w:rPr>
                <w:rFonts w:ascii="Palatino Linotype" w:hAnsi="Palatino Linotype" w:cs="Helvetica"/>
                <w:szCs w:val="20"/>
              </w:rPr>
            </w:pPr>
            <w:r>
              <w:rPr>
                <w:rFonts w:ascii="Palatino Linotype" w:hAnsi="Palatino Linotype" w:cs="Helvetica"/>
                <w:szCs w:val="20"/>
              </w:rPr>
              <w:t>Gene set</w:t>
            </w:r>
            <w:r w:rsidRPr="001F653D">
              <w:rPr>
                <w:rFonts w:ascii="Palatino Linotype" w:hAnsi="Palatino Linotype" w:cs="Helvetica"/>
                <w:szCs w:val="20"/>
              </w:rPr>
              <w:t xml:space="preserve"> (–)</w:t>
            </w:r>
          </w:p>
        </w:tc>
        <w:tc>
          <w:tcPr>
            <w:tcW w:w="2190" w:type="dxa"/>
            <w:vAlign w:val="center"/>
          </w:tcPr>
          <w:p w14:paraId="4D14E256" w14:textId="77777777" w:rsidR="001F653D" w:rsidRPr="001F653D" w:rsidRDefault="001F653D" w:rsidP="00466A0A">
            <w:pPr>
              <w:wordWrap/>
              <w:jc w:val="center"/>
              <w:rPr>
                <w:rFonts w:ascii="Palatino Linotype" w:hAnsi="Palatino Linotype" w:cs="Helvetica"/>
                <w:i/>
                <w:iCs/>
                <w:szCs w:val="20"/>
              </w:rPr>
            </w:pPr>
            <w:r w:rsidRPr="001F653D">
              <w:rPr>
                <w:rFonts w:ascii="Palatino Linotype" w:hAnsi="Palatino Linotype" w:cs="Helvetica"/>
                <w:i/>
                <w:iCs/>
                <w:szCs w:val="20"/>
              </w:rPr>
              <w:t>c</w:t>
            </w:r>
          </w:p>
        </w:tc>
        <w:tc>
          <w:tcPr>
            <w:tcW w:w="2190" w:type="dxa"/>
            <w:vAlign w:val="center"/>
          </w:tcPr>
          <w:p w14:paraId="353BE1F2" w14:textId="77777777" w:rsidR="001F653D" w:rsidRPr="001F653D" w:rsidRDefault="001F653D" w:rsidP="00466A0A">
            <w:pPr>
              <w:wordWrap/>
              <w:jc w:val="center"/>
              <w:rPr>
                <w:rFonts w:ascii="Palatino Linotype" w:hAnsi="Palatino Linotype" w:cs="Helvetica"/>
                <w:i/>
                <w:iCs/>
                <w:szCs w:val="20"/>
              </w:rPr>
            </w:pPr>
            <w:r w:rsidRPr="001F653D">
              <w:rPr>
                <w:rFonts w:ascii="Palatino Linotype" w:hAnsi="Palatino Linotype" w:cs="Helvetica"/>
                <w:i/>
                <w:iCs/>
                <w:szCs w:val="20"/>
              </w:rPr>
              <w:t>d</w:t>
            </w:r>
          </w:p>
        </w:tc>
        <w:tc>
          <w:tcPr>
            <w:tcW w:w="2190" w:type="dxa"/>
            <w:vAlign w:val="center"/>
          </w:tcPr>
          <w:p w14:paraId="5557DF8C" w14:textId="77777777" w:rsidR="001F653D" w:rsidRPr="001F653D" w:rsidRDefault="001F653D" w:rsidP="00466A0A">
            <w:pPr>
              <w:wordWrap/>
              <w:jc w:val="center"/>
              <w:rPr>
                <w:rFonts w:ascii="Palatino Linotype" w:hAnsi="Palatino Linotype" w:cs="Helvetica"/>
                <w:szCs w:val="20"/>
              </w:rPr>
            </w:pPr>
            <w:proofErr w:type="spellStart"/>
            <w:r w:rsidRPr="001F653D">
              <w:rPr>
                <w:rFonts w:ascii="Palatino Linotype" w:hAnsi="Palatino Linotype" w:cs="Helvetica"/>
                <w:i/>
                <w:iCs/>
                <w:szCs w:val="20"/>
              </w:rPr>
              <w:t>c</w:t>
            </w:r>
            <w:r w:rsidRPr="001F653D">
              <w:rPr>
                <w:rFonts w:ascii="Palatino Linotype" w:hAnsi="Palatino Linotype" w:cs="Helvetica"/>
                <w:szCs w:val="20"/>
              </w:rPr>
              <w:t>+</w:t>
            </w:r>
            <w:r w:rsidRPr="001F653D">
              <w:rPr>
                <w:rFonts w:ascii="Palatino Linotype" w:hAnsi="Palatino Linotype" w:cs="Helvetica"/>
                <w:i/>
                <w:iCs/>
                <w:szCs w:val="20"/>
              </w:rPr>
              <w:t>d</w:t>
            </w:r>
            <w:proofErr w:type="spellEnd"/>
          </w:p>
        </w:tc>
      </w:tr>
      <w:tr w:rsidR="001F653D" w:rsidRPr="001F653D" w14:paraId="1A993EFB" w14:textId="77777777" w:rsidTr="00466A0A">
        <w:trPr>
          <w:trHeight w:val="433"/>
        </w:trPr>
        <w:tc>
          <w:tcPr>
            <w:tcW w:w="2190" w:type="dxa"/>
            <w:tcBorders>
              <w:left w:val="single" w:sz="4" w:space="0" w:color="auto"/>
            </w:tcBorders>
            <w:vAlign w:val="center"/>
          </w:tcPr>
          <w:p w14:paraId="40E94469" w14:textId="77777777" w:rsidR="001F653D" w:rsidRPr="001F653D" w:rsidRDefault="001F653D" w:rsidP="00466A0A">
            <w:pPr>
              <w:wordWrap/>
              <w:jc w:val="center"/>
              <w:rPr>
                <w:rFonts w:ascii="Palatino Linotype" w:hAnsi="Palatino Linotype" w:cs="Helvetica"/>
                <w:szCs w:val="20"/>
              </w:rPr>
            </w:pPr>
          </w:p>
        </w:tc>
        <w:tc>
          <w:tcPr>
            <w:tcW w:w="2190" w:type="dxa"/>
            <w:vAlign w:val="center"/>
          </w:tcPr>
          <w:p w14:paraId="4FF25659" w14:textId="77777777" w:rsidR="001F653D" w:rsidRPr="001F653D" w:rsidRDefault="001F653D" w:rsidP="00466A0A">
            <w:pPr>
              <w:wordWrap/>
              <w:jc w:val="center"/>
              <w:rPr>
                <w:rFonts w:ascii="Palatino Linotype" w:hAnsi="Palatino Linotype" w:cs="Helvetica"/>
                <w:szCs w:val="20"/>
              </w:rPr>
            </w:pPr>
            <w:proofErr w:type="spellStart"/>
            <w:r w:rsidRPr="001F653D">
              <w:rPr>
                <w:rFonts w:ascii="Palatino Linotype" w:hAnsi="Palatino Linotype" w:cs="Helvetica"/>
                <w:i/>
                <w:iCs/>
                <w:szCs w:val="20"/>
              </w:rPr>
              <w:t>a</w:t>
            </w:r>
            <w:r w:rsidRPr="001F653D">
              <w:rPr>
                <w:rFonts w:ascii="Palatino Linotype" w:hAnsi="Palatino Linotype" w:cs="Helvetica"/>
                <w:szCs w:val="20"/>
              </w:rPr>
              <w:t>+</w:t>
            </w:r>
            <w:r w:rsidRPr="001F653D">
              <w:rPr>
                <w:rFonts w:ascii="Palatino Linotype" w:hAnsi="Palatino Linotype" w:cs="Helvetica"/>
                <w:i/>
                <w:iCs/>
                <w:szCs w:val="20"/>
              </w:rPr>
              <w:t>c</w:t>
            </w:r>
            <w:proofErr w:type="spellEnd"/>
          </w:p>
        </w:tc>
        <w:tc>
          <w:tcPr>
            <w:tcW w:w="2190" w:type="dxa"/>
            <w:vAlign w:val="center"/>
          </w:tcPr>
          <w:p w14:paraId="1EE764E2" w14:textId="77777777" w:rsidR="001F653D" w:rsidRPr="001F653D" w:rsidRDefault="001F653D" w:rsidP="00466A0A">
            <w:pPr>
              <w:wordWrap/>
              <w:jc w:val="center"/>
              <w:rPr>
                <w:rFonts w:ascii="Palatino Linotype" w:hAnsi="Palatino Linotype" w:cs="Helvetica"/>
                <w:szCs w:val="20"/>
              </w:rPr>
            </w:pPr>
            <w:proofErr w:type="spellStart"/>
            <w:r w:rsidRPr="001F653D">
              <w:rPr>
                <w:rFonts w:ascii="Palatino Linotype" w:hAnsi="Palatino Linotype" w:cs="Helvetica"/>
                <w:i/>
                <w:iCs/>
                <w:szCs w:val="20"/>
              </w:rPr>
              <w:t>b</w:t>
            </w:r>
            <w:r w:rsidRPr="001F653D">
              <w:rPr>
                <w:rFonts w:ascii="Palatino Linotype" w:hAnsi="Palatino Linotype" w:cs="Helvetica"/>
                <w:szCs w:val="20"/>
              </w:rPr>
              <w:t>+</w:t>
            </w:r>
            <w:r w:rsidRPr="001F653D">
              <w:rPr>
                <w:rFonts w:ascii="Palatino Linotype" w:hAnsi="Palatino Linotype" w:cs="Helvetica"/>
                <w:i/>
                <w:iCs/>
                <w:szCs w:val="20"/>
              </w:rPr>
              <w:t>d</w:t>
            </w:r>
            <w:proofErr w:type="spellEnd"/>
          </w:p>
        </w:tc>
        <w:tc>
          <w:tcPr>
            <w:tcW w:w="2190" w:type="dxa"/>
            <w:vAlign w:val="center"/>
          </w:tcPr>
          <w:p w14:paraId="2E15EFB2" w14:textId="77777777" w:rsidR="001F653D" w:rsidRPr="001F653D" w:rsidRDefault="001F653D" w:rsidP="00466A0A">
            <w:pPr>
              <w:wordWrap/>
              <w:jc w:val="center"/>
              <w:rPr>
                <w:rFonts w:ascii="Palatino Linotype" w:hAnsi="Palatino Linotype" w:cs="Helvetica"/>
                <w:szCs w:val="20"/>
              </w:rPr>
            </w:pPr>
            <w:proofErr w:type="spellStart"/>
            <w:r w:rsidRPr="001F653D">
              <w:rPr>
                <w:rFonts w:ascii="Palatino Linotype" w:hAnsi="Palatino Linotype" w:cs="Helvetica"/>
                <w:i/>
                <w:iCs/>
                <w:szCs w:val="20"/>
              </w:rPr>
              <w:t>a</w:t>
            </w:r>
            <w:r w:rsidRPr="001F653D">
              <w:rPr>
                <w:rFonts w:ascii="Palatino Linotype" w:hAnsi="Palatino Linotype" w:cs="Helvetica"/>
                <w:szCs w:val="20"/>
              </w:rPr>
              <w:t>+</w:t>
            </w:r>
            <w:r w:rsidRPr="001F653D">
              <w:rPr>
                <w:rFonts w:ascii="Palatino Linotype" w:hAnsi="Palatino Linotype" w:cs="Helvetica"/>
                <w:i/>
                <w:iCs/>
                <w:szCs w:val="20"/>
              </w:rPr>
              <w:t>b</w:t>
            </w:r>
            <w:r w:rsidRPr="001F653D">
              <w:rPr>
                <w:rFonts w:ascii="Palatino Linotype" w:hAnsi="Palatino Linotype" w:cs="Helvetica"/>
                <w:szCs w:val="20"/>
              </w:rPr>
              <w:t>+</w:t>
            </w:r>
            <w:r w:rsidRPr="001F653D">
              <w:rPr>
                <w:rFonts w:ascii="Palatino Linotype" w:hAnsi="Palatino Linotype" w:cs="Helvetica"/>
                <w:i/>
                <w:iCs/>
                <w:szCs w:val="20"/>
              </w:rPr>
              <w:t>c</w:t>
            </w:r>
            <w:r w:rsidRPr="001F653D">
              <w:rPr>
                <w:rFonts w:ascii="Palatino Linotype" w:hAnsi="Palatino Linotype" w:cs="Helvetica"/>
                <w:szCs w:val="20"/>
              </w:rPr>
              <w:t>+</w:t>
            </w:r>
            <w:r w:rsidRPr="001F653D">
              <w:rPr>
                <w:rFonts w:ascii="Palatino Linotype" w:hAnsi="Palatino Linotype" w:cs="Helvetica"/>
                <w:i/>
                <w:iCs/>
                <w:szCs w:val="20"/>
              </w:rPr>
              <w:t>d</w:t>
            </w:r>
            <w:proofErr w:type="spellEnd"/>
            <w:r w:rsidRPr="001F653D">
              <w:rPr>
                <w:rFonts w:ascii="Palatino Linotype" w:hAnsi="Palatino Linotype" w:cs="Helvetica"/>
                <w:szCs w:val="20"/>
              </w:rPr>
              <w:t xml:space="preserve"> (= </w:t>
            </w:r>
            <w:r w:rsidRPr="001F653D">
              <w:rPr>
                <w:rFonts w:ascii="Palatino Linotype" w:hAnsi="Palatino Linotype" w:cs="Helvetica"/>
                <w:i/>
                <w:szCs w:val="20"/>
              </w:rPr>
              <w:t>n</w:t>
            </w:r>
            <w:r w:rsidRPr="001F653D">
              <w:rPr>
                <w:rFonts w:ascii="Palatino Linotype" w:hAnsi="Palatino Linotype" w:cs="Helvetica"/>
                <w:szCs w:val="20"/>
              </w:rPr>
              <w:t>)</w:t>
            </w:r>
          </w:p>
        </w:tc>
      </w:tr>
    </w:tbl>
    <w:p w14:paraId="0411E952" w14:textId="77777777" w:rsidR="001F653D" w:rsidRPr="001F653D" w:rsidRDefault="001F653D" w:rsidP="001F653D">
      <w:pPr>
        <w:wordWrap/>
        <w:spacing w:line="480" w:lineRule="auto"/>
        <w:rPr>
          <w:rFonts w:ascii="Palatino Linotype" w:hAnsi="Palatino Linotype" w:cs="Helvetica"/>
          <w:szCs w:val="20"/>
        </w:rPr>
      </w:pPr>
    </w:p>
    <w:p w14:paraId="5961640A" w14:textId="77777777" w:rsidR="001F653D" w:rsidRPr="001F653D" w:rsidRDefault="001F653D" w:rsidP="001F653D">
      <w:pPr>
        <w:wordWrap/>
        <w:spacing w:line="480" w:lineRule="auto"/>
        <w:rPr>
          <w:rFonts w:ascii="Palatino Linotype" w:hAnsi="Palatino Linotype" w:cs="Helvetica"/>
          <w:szCs w:val="20"/>
        </w:rPr>
      </w:pPr>
      <w:r w:rsidRPr="001F653D">
        <w:rPr>
          <w:rFonts w:ascii="Palatino Linotype" w:hAnsi="Palatino Linotype" w:cs="Helvetica"/>
          <w:szCs w:val="20"/>
        </w:rPr>
        <w:t xml:space="preserve">In the above table, the positive sign indicates that a gene is included in the list; the negative sign means the gene is not. </w:t>
      </w:r>
      <w:r w:rsidRPr="001F653D">
        <w:rPr>
          <w:rFonts w:ascii="Palatino Linotype" w:hAnsi="Palatino Linotype" w:cs="Helvetica"/>
          <w:i/>
          <w:szCs w:val="20"/>
        </w:rPr>
        <w:t>n</w:t>
      </w:r>
      <w:r w:rsidRPr="001F653D">
        <w:rPr>
          <w:rFonts w:ascii="Palatino Linotype" w:hAnsi="Palatino Linotype" w:cs="Helvetica"/>
          <w:szCs w:val="20"/>
        </w:rPr>
        <w:t xml:space="preserve"> indicates the total number of human genes. Fisher’s exact test identifies whether the distribution of numbers in the table results from random chance. The</w:t>
      </w:r>
      <w:r w:rsidRPr="001F653D">
        <w:rPr>
          <w:rFonts w:ascii="Palatino Linotype" w:hAnsi="Palatino Linotype" w:cs="Helvetica"/>
          <w:i/>
          <w:iCs/>
          <w:szCs w:val="20"/>
        </w:rPr>
        <w:t xml:space="preserve"> </w:t>
      </w:r>
      <w:r w:rsidRPr="001F653D">
        <w:rPr>
          <w:rFonts w:ascii="Palatino Linotype" w:hAnsi="Palatino Linotype" w:cs="Helvetica"/>
          <w:szCs w:val="20"/>
        </w:rPr>
        <w:t>P-value of the test is obtained using the hypergeometric distribution, as shown in equation (1).</w:t>
      </w:r>
      <w:r w:rsidRPr="001F653D">
        <w:rPr>
          <w:rFonts w:ascii="Palatino Linotype" w:hAnsi="Palatino Linotype" w:cs="Helvetica"/>
          <w:szCs w:val="20"/>
        </w:rPr>
        <w:t xml:space="preserve"> </w:t>
      </w:r>
    </w:p>
    <w:p w14:paraId="4160C66C" w14:textId="750BAAA1" w:rsidR="001F653D" w:rsidRPr="001F653D" w:rsidRDefault="00FF7229" w:rsidP="00FF7229">
      <w:pPr>
        <w:wordWrap/>
        <w:spacing w:line="480" w:lineRule="auto"/>
        <w:jc w:val="right"/>
        <w:rPr>
          <w:rFonts w:ascii="Palatino Linotype" w:hAnsi="Palatino Linotype" w:cs="Helvetica"/>
          <w:szCs w:val="20"/>
        </w:rPr>
      </w:pPr>
      <w:r w:rsidRPr="00FF7229">
        <w:rPr>
          <w:rFonts w:ascii="Palatino Linotype" w:hAnsi="Palatino Linotype" w:cs="Helvetica"/>
          <w:position w:val="-24"/>
          <w:szCs w:val="20"/>
        </w:rPr>
        <w:object w:dxaOrig="3340" w:dyaOrig="620" w14:anchorId="306A1B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67pt;height:31pt" o:ole="">
            <v:imagedata r:id="rId4" o:title=""/>
          </v:shape>
          <o:OLEObject Type="Embed" ProgID="Equation.DSMT4" ShapeID="_x0000_i1026" DrawAspect="Content" ObjectID="_1764679411" r:id="rId5"/>
        </w:object>
      </w:r>
      <w:r>
        <w:rPr>
          <w:rFonts w:ascii="Palatino Linotype" w:hAnsi="Palatino Linotype" w:cs="Helvetica"/>
          <w:szCs w:val="20"/>
        </w:rPr>
        <w:t xml:space="preserve">                         (1)</w:t>
      </w:r>
    </w:p>
    <w:p w14:paraId="030372B6" w14:textId="0058BC1D" w:rsidR="001573D6" w:rsidRPr="001F653D" w:rsidRDefault="00FF7229" w:rsidP="001F653D">
      <w:pPr>
        <w:spacing w:line="360" w:lineRule="auto"/>
        <w:rPr>
          <w:rFonts w:ascii="Palatino Linotype" w:hAnsi="Palatino Linotype"/>
          <w:szCs w:val="20"/>
        </w:rPr>
      </w:pPr>
      <w:r w:rsidRPr="00FF7229">
        <w:rPr>
          <w:rFonts w:ascii="Palatino Linotype" w:hAnsi="Palatino Linotype" w:cs="Helvetica"/>
          <w:szCs w:val="20"/>
        </w:rPr>
        <w:t xml:space="preserve">For the estimation of the p-value, the </w:t>
      </w:r>
      <w:r w:rsidRPr="00FF7229">
        <w:rPr>
          <w:rFonts w:ascii="Courier New" w:hAnsi="Courier New" w:cs="Courier New"/>
          <w:szCs w:val="20"/>
        </w:rPr>
        <w:t>‘</w:t>
      </w:r>
      <w:proofErr w:type="spellStart"/>
      <w:r w:rsidRPr="00FF7229">
        <w:rPr>
          <w:rFonts w:ascii="Courier New" w:hAnsi="Courier New" w:cs="Courier New"/>
          <w:szCs w:val="20"/>
        </w:rPr>
        <w:t>fisher.test</w:t>
      </w:r>
      <w:proofErr w:type="spellEnd"/>
      <w:r w:rsidRPr="00FF7229">
        <w:rPr>
          <w:rFonts w:ascii="Courier New" w:hAnsi="Courier New" w:cs="Courier New"/>
          <w:szCs w:val="20"/>
        </w:rPr>
        <w:t>’</w:t>
      </w:r>
      <w:r w:rsidRPr="00FF7229">
        <w:rPr>
          <w:rFonts w:ascii="Palatino Linotype" w:hAnsi="Palatino Linotype" w:cs="Helvetica"/>
          <w:szCs w:val="20"/>
        </w:rPr>
        <w:t xml:space="preserve"> function in the R program was used with the one-sided parameter</w:t>
      </w:r>
      <w:r>
        <w:rPr>
          <w:rFonts w:ascii="Palatino Linotype" w:hAnsi="Palatino Linotype" w:cs="Helvetica"/>
          <w:szCs w:val="20"/>
        </w:rPr>
        <w:t>.</w:t>
      </w:r>
    </w:p>
    <w:p w14:paraId="610FD247" w14:textId="77777777" w:rsidR="001573D6" w:rsidRPr="001F653D" w:rsidRDefault="001573D6" w:rsidP="000B486D">
      <w:pPr>
        <w:spacing w:line="360" w:lineRule="auto"/>
        <w:rPr>
          <w:rFonts w:ascii="Palatino Linotype" w:hAnsi="Palatino Linotype"/>
          <w:szCs w:val="20"/>
        </w:rPr>
      </w:pPr>
    </w:p>
    <w:p w14:paraId="00A0244E" w14:textId="27790FCF" w:rsidR="001573D6" w:rsidRPr="001F653D" w:rsidRDefault="001573D6" w:rsidP="000B486D">
      <w:pPr>
        <w:spacing w:line="360" w:lineRule="auto"/>
        <w:rPr>
          <w:rFonts w:ascii="Palatino Linotype" w:hAnsi="Palatino Linotype"/>
          <w:b/>
          <w:bCs/>
          <w:szCs w:val="20"/>
        </w:rPr>
      </w:pPr>
      <w:r w:rsidRPr="001F653D">
        <w:rPr>
          <w:rFonts w:ascii="Palatino Linotype" w:hAnsi="Palatino Linotype"/>
          <w:b/>
          <w:bCs/>
          <w:szCs w:val="20"/>
        </w:rPr>
        <w:t>Network-based clustering</w:t>
      </w:r>
    </w:p>
    <w:p w14:paraId="267EA643" w14:textId="694E5BE0" w:rsidR="00516B5A" w:rsidRDefault="00320789" w:rsidP="000B486D">
      <w:pPr>
        <w:spacing w:line="360" w:lineRule="auto"/>
        <w:rPr>
          <w:rFonts w:ascii="Palatino Linotype" w:hAnsi="Palatino Linotype"/>
          <w:szCs w:val="20"/>
        </w:rPr>
      </w:pPr>
      <w:r w:rsidRPr="00320789">
        <w:rPr>
          <w:rFonts w:ascii="Palatino Linotype" w:hAnsi="Palatino Linotype"/>
          <w:szCs w:val="20"/>
        </w:rPr>
        <w:t xml:space="preserve">In bioinformatics analysis, network-based clustering is employed to identify clusters with tightly connected genes or proteins, considering a specific network structure. In the STRING database, the Markov Cluster Algorithm (MCL) is implemented to detect clusters based on the protein-protein interaction network structure. MCL determines clusters by simulating a flow on the graph, with the </w:t>
      </w:r>
      <w:r w:rsidRPr="00320789">
        <w:rPr>
          <w:rFonts w:ascii="Palatino Linotype" w:hAnsi="Palatino Linotype"/>
          <w:szCs w:val="20"/>
        </w:rPr>
        <w:lastRenderedPageBreak/>
        <w:t xml:space="preserve">flow estimated through successive powers of the associated adjacency matrix. Strong and weak flow in the graph </w:t>
      </w:r>
      <w:proofErr w:type="gramStart"/>
      <w:r w:rsidRPr="00320789">
        <w:rPr>
          <w:rFonts w:ascii="Palatino Linotype" w:hAnsi="Palatino Linotype"/>
          <w:szCs w:val="20"/>
        </w:rPr>
        <w:t>are</w:t>
      </w:r>
      <w:proofErr w:type="gramEnd"/>
      <w:r w:rsidRPr="00320789">
        <w:rPr>
          <w:rFonts w:ascii="Palatino Linotype" w:hAnsi="Palatino Linotype"/>
          <w:szCs w:val="20"/>
        </w:rPr>
        <w:t xml:space="preserve"> contrasted by an inflation step in each iteration, ultimately partitioning the network into clusters. The default inflation parameter (set to 3) was used, and protein interactions were defined by physical interactions and confidence levels in the interactions.</w:t>
      </w:r>
    </w:p>
    <w:p w14:paraId="11FDBFED" w14:textId="77777777" w:rsidR="00320789" w:rsidRDefault="00320789" w:rsidP="000B486D">
      <w:pPr>
        <w:spacing w:line="360" w:lineRule="auto"/>
        <w:rPr>
          <w:rFonts w:ascii="Palatino Linotype" w:hAnsi="Palatino Linotype"/>
          <w:szCs w:val="20"/>
        </w:rPr>
      </w:pPr>
    </w:p>
    <w:p w14:paraId="1A56DEDB" w14:textId="77777777" w:rsidR="00320789" w:rsidRDefault="00320789" w:rsidP="000B486D">
      <w:pPr>
        <w:spacing w:line="360" w:lineRule="auto"/>
        <w:rPr>
          <w:rFonts w:ascii="Palatino Linotype" w:hAnsi="Palatino Linotype"/>
          <w:szCs w:val="20"/>
        </w:rPr>
      </w:pPr>
    </w:p>
    <w:p w14:paraId="2FD719C7" w14:textId="3A868526" w:rsidR="00320789" w:rsidRPr="00AF1C54" w:rsidRDefault="00320789" w:rsidP="000B486D">
      <w:pPr>
        <w:spacing w:line="360" w:lineRule="auto"/>
        <w:rPr>
          <w:rFonts w:ascii="Palatino Linotype" w:hAnsi="Palatino Linotype"/>
          <w:b/>
          <w:bCs/>
          <w:szCs w:val="20"/>
        </w:rPr>
      </w:pPr>
      <w:r w:rsidRPr="00AF1C54">
        <w:rPr>
          <w:rFonts w:ascii="Palatino Linotype" w:hAnsi="Palatino Linotype" w:hint="eastAsia"/>
          <w:b/>
          <w:bCs/>
          <w:szCs w:val="20"/>
        </w:rPr>
        <w:t>R</w:t>
      </w:r>
      <w:r w:rsidRPr="00AF1C54">
        <w:rPr>
          <w:rFonts w:ascii="Palatino Linotype" w:hAnsi="Palatino Linotype"/>
          <w:b/>
          <w:bCs/>
          <w:szCs w:val="20"/>
        </w:rPr>
        <w:t xml:space="preserve">eference </w:t>
      </w:r>
    </w:p>
    <w:p w14:paraId="2ADF1B74" w14:textId="77777777" w:rsidR="00320789" w:rsidRPr="00320789" w:rsidRDefault="00320789" w:rsidP="00320789">
      <w:pPr>
        <w:pStyle w:val="RefText"/>
        <w:spacing w:line="480" w:lineRule="auto"/>
        <w:ind w:left="0" w:firstLine="0"/>
        <w:rPr>
          <w:rFonts w:ascii="Palatino Linotype" w:hAnsi="Palatino Linotype"/>
          <w:sz w:val="20"/>
        </w:rPr>
      </w:pPr>
      <w:proofErr w:type="spellStart"/>
      <w:r w:rsidRPr="00320789">
        <w:rPr>
          <w:rFonts w:ascii="Palatino Linotype" w:hAnsi="Palatino Linotype"/>
          <w:sz w:val="20"/>
        </w:rPr>
        <w:t>Maleki,F</w:t>
      </w:r>
      <w:proofErr w:type="spellEnd"/>
      <w:r w:rsidRPr="00320789">
        <w:rPr>
          <w:rFonts w:ascii="Palatino Linotype" w:hAnsi="Palatino Linotype"/>
          <w:sz w:val="20"/>
        </w:rPr>
        <w:t>.</w:t>
      </w:r>
      <w:r w:rsidRPr="00320789">
        <w:rPr>
          <w:rFonts w:ascii="Palatino Linotype" w:hAnsi="Palatino Linotype"/>
          <w:iCs/>
          <w:sz w:val="20"/>
        </w:rPr>
        <w:t xml:space="preserve"> </w:t>
      </w:r>
      <w:r w:rsidRPr="00320789">
        <w:rPr>
          <w:rFonts w:ascii="Palatino Linotype" w:hAnsi="Palatino Linotype"/>
          <w:i/>
          <w:sz w:val="20"/>
        </w:rPr>
        <w:t>et al.</w:t>
      </w:r>
      <w:r w:rsidRPr="00320789">
        <w:rPr>
          <w:rFonts w:ascii="Palatino Linotype" w:hAnsi="Palatino Linotype"/>
          <w:sz w:val="20"/>
        </w:rPr>
        <w:t xml:space="preserve"> (2020) Gene set analysis: challenges, opportunities, and future research. </w:t>
      </w:r>
      <w:r w:rsidRPr="00320789">
        <w:rPr>
          <w:rFonts w:ascii="Palatino Linotype" w:hAnsi="Palatino Linotype"/>
          <w:i/>
          <w:sz w:val="20"/>
        </w:rPr>
        <w:t>Front. Genet.</w:t>
      </w:r>
      <w:r w:rsidRPr="00320789">
        <w:rPr>
          <w:rFonts w:ascii="Palatino Linotype" w:hAnsi="Palatino Linotype"/>
          <w:iCs/>
          <w:sz w:val="20"/>
        </w:rPr>
        <w:t xml:space="preserve">, </w:t>
      </w:r>
      <w:r w:rsidRPr="00320789">
        <w:rPr>
          <w:rFonts w:ascii="Palatino Linotype" w:hAnsi="Palatino Linotype"/>
          <w:sz w:val="20"/>
        </w:rPr>
        <w:t>11, 654.</w:t>
      </w:r>
    </w:p>
    <w:p w14:paraId="2F1745D7" w14:textId="19B42AD7" w:rsidR="00320789" w:rsidRPr="00320789" w:rsidRDefault="00320789" w:rsidP="000B486D">
      <w:pPr>
        <w:spacing w:line="360" w:lineRule="auto"/>
        <w:rPr>
          <w:rFonts w:ascii="Palatino Linotype" w:hAnsi="Palatino Linotype"/>
          <w:szCs w:val="20"/>
        </w:rPr>
      </w:pPr>
      <w:proofErr w:type="spellStart"/>
      <w:r w:rsidRPr="00320789">
        <w:rPr>
          <w:rFonts w:ascii="Palatino Linotype" w:hAnsi="Palatino Linotype" w:cs="Segoe UI"/>
          <w:color w:val="212121"/>
          <w:szCs w:val="20"/>
          <w:shd w:val="clear" w:color="auto" w:fill="FFFFFF"/>
        </w:rPr>
        <w:t>Brohée</w:t>
      </w:r>
      <w:proofErr w:type="spellEnd"/>
      <w:r w:rsidRPr="00320789">
        <w:rPr>
          <w:rFonts w:ascii="Palatino Linotype" w:hAnsi="Palatino Linotype" w:cs="Segoe UI"/>
          <w:color w:val="212121"/>
          <w:szCs w:val="20"/>
          <w:shd w:val="clear" w:color="auto" w:fill="FFFFFF"/>
        </w:rPr>
        <w:t xml:space="preserve"> S, van Helden J. Evaluation of clustering algorithms for protein-protein interaction networks. BMC Bioinformatics. 2006 Nov 6;7:488. </w:t>
      </w:r>
      <w:proofErr w:type="spellStart"/>
      <w:r w:rsidRPr="00320789">
        <w:rPr>
          <w:rFonts w:ascii="Palatino Linotype" w:hAnsi="Palatino Linotype" w:cs="Segoe UI"/>
          <w:color w:val="212121"/>
          <w:szCs w:val="20"/>
          <w:shd w:val="clear" w:color="auto" w:fill="FFFFFF"/>
        </w:rPr>
        <w:t>doi</w:t>
      </w:r>
      <w:proofErr w:type="spellEnd"/>
      <w:r w:rsidRPr="00320789">
        <w:rPr>
          <w:rFonts w:ascii="Palatino Linotype" w:hAnsi="Palatino Linotype" w:cs="Segoe UI"/>
          <w:color w:val="212121"/>
          <w:szCs w:val="20"/>
          <w:shd w:val="clear" w:color="auto" w:fill="FFFFFF"/>
        </w:rPr>
        <w:t>: 10.1186/1471-2105-7-488. PMID: 17087821; PMCID: PMC1637120.</w:t>
      </w:r>
    </w:p>
    <w:sectPr w:rsidR="00320789" w:rsidRPr="00320789">
      <w:pgSz w:w="11906" w:h="16838"/>
      <w:pgMar w:top="1701" w:right="1440" w:bottom="1440" w:left="1440" w:header="851" w:footer="992" w:gutter="0"/>
      <w:cols w:space="42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Helvetica">
    <w:panose1 w:val="020B0604020202020204"/>
    <w:charset w:val="00"/>
    <w:family w:val="swiss"/>
    <w:pitch w:val="variable"/>
    <w:sig w:usb0="00000007" w:usb1="00000000" w:usb2="00000000" w:usb3="00000000" w:csb0="00000093"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defaultTabStop w:val="800"/>
  <w:displayHorizontalDrawingGridEvery w:val="0"/>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486D"/>
    <w:rsid w:val="0005443D"/>
    <w:rsid w:val="000B486D"/>
    <w:rsid w:val="000E3353"/>
    <w:rsid w:val="001573D6"/>
    <w:rsid w:val="001F653D"/>
    <w:rsid w:val="00215552"/>
    <w:rsid w:val="00320789"/>
    <w:rsid w:val="004608BD"/>
    <w:rsid w:val="00516B5A"/>
    <w:rsid w:val="005727AE"/>
    <w:rsid w:val="00AF1C54"/>
    <w:rsid w:val="00B12F7D"/>
    <w:rsid w:val="00FF722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794D24"/>
  <w15:chartTrackingRefBased/>
  <w15:docId w15:val="{7689E8ED-2B11-4110-B970-409AC144B6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14:ligatures w14:val="standardContextual"/>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1F653D"/>
    <w:pPr>
      <w:spacing w:after="0" w:line="240" w:lineRule="auto"/>
    </w:pPr>
    <w:rP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Text">
    <w:name w:val="Ref Text"/>
    <w:rsid w:val="00320789"/>
    <w:pPr>
      <w:spacing w:after="0" w:line="180" w:lineRule="exact"/>
      <w:ind w:left="227" w:hanging="227"/>
    </w:pPr>
    <w:rPr>
      <w:rFonts w:ascii="Times New Roman" w:eastAsia="Times New Roman" w:hAnsi="Times New Roman" w:cs="Times New Roman"/>
      <w:kern w:val="0"/>
      <w:sz w:val="14"/>
      <w:szCs w:val="20"/>
      <w:lang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oleObject" Target="embeddings/oleObject1.bin"/><Relationship Id="rId4" Type="http://schemas.openxmlformats.org/officeDocument/2006/relationships/image" Target="media/image1.w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4730</TotalTime>
  <Pages>2</Pages>
  <Words>348</Words>
  <Characters>1988</Characters>
  <Application>Microsoft Office Word</Application>
  <DocSecurity>0</DocSecurity>
  <Lines>16</Lines>
  <Paragraphs>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Seong Beom Cho</dc:creator>
  <cp:keywords/>
  <dc:description/>
  <cp:lastModifiedBy>Seong Beom Cho</cp:lastModifiedBy>
  <cp:revision>8</cp:revision>
  <dcterms:created xsi:type="dcterms:W3CDTF">2023-12-15T01:07:00Z</dcterms:created>
  <dcterms:modified xsi:type="dcterms:W3CDTF">2023-12-21T06:55:00Z</dcterms:modified>
</cp:coreProperties>
</file>